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w:t>
      </w:r>
      <w:proofErr w:type="spellStart"/>
      <w:r w:rsidR="00874E78" w:rsidRPr="00CE59F2">
        <w:rPr>
          <w:rFonts w:asciiTheme="majorHAnsi" w:hAnsiTheme="majorHAnsi"/>
          <w:sz w:val="22"/>
          <w:szCs w:val="22"/>
          <w:lang w:eastAsia="en-US"/>
        </w:rPr>
        <w:t>Grobárom</w:t>
      </w:r>
      <w:proofErr w:type="spellEnd"/>
      <w:r w:rsidR="00874E78" w:rsidRPr="00CE59F2">
        <w:rPr>
          <w:rFonts w:asciiTheme="majorHAnsi" w:hAnsiTheme="majorHAnsi"/>
          <w:sz w:val="22"/>
          <w:szCs w:val="22"/>
          <w:lang w:eastAsia="en-US"/>
        </w:rPr>
        <w:t xml:space="preserve">,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 xml:space="preserve">Ing. Martinom </w:t>
      </w:r>
      <w:proofErr w:type="spellStart"/>
      <w:r w:rsidRPr="00CE59F2">
        <w:rPr>
          <w:rFonts w:asciiTheme="majorHAnsi" w:hAnsiTheme="majorHAnsi"/>
          <w:sz w:val="22"/>
          <w:szCs w:val="22"/>
          <w:lang w:eastAsia="en-US"/>
        </w:rPr>
        <w:t>Barbaričom</w:t>
      </w:r>
      <w:proofErr w:type="spellEnd"/>
      <w:r w:rsidRPr="00CE59F2">
        <w:rPr>
          <w:rFonts w:asciiTheme="majorHAnsi" w:hAnsiTheme="majorHAnsi"/>
          <w:sz w:val="22"/>
          <w:szCs w:val="22"/>
          <w:lang w:eastAsia="en-US"/>
        </w:rPr>
        <w:t>,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1" w:name="_Toc305581927"/>
      <w:bookmarkStart w:id="2" w:name="_Toc305582511"/>
      <w:bookmarkStart w:id="3" w:name="_Toc179875186"/>
      <w:bookmarkStart w:id="4" w:name="_Toc179875230"/>
      <w:bookmarkStart w:id="5" w:name="_Toc179879430"/>
      <w:bookmarkStart w:id="6" w:name="_Toc179875187"/>
      <w:bookmarkStart w:id="7" w:name="_Toc179875231"/>
      <w:bookmarkStart w:id="8" w:name="_Toc179879431"/>
      <w:bookmarkStart w:id="9" w:name="_Toc179875188"/>
      <w:bookmarkStart w:id="10" w:name="_Toc179875232"/>
      <w:bookmarkStart w:id="11" w:name="_Toc179879432"/>
      <w:bookmarkStart w:id="12" w:name="_Toc179875189"/>
      <w:bookmarkStart w:id="13" w:name="_Toc179875233"/>
      <w:bookmarkStart w:id="14" w:name="_Toc179879433"/>
      <w:bookmarkStart w:id="15" w:name="_Toc179875190"/>
      <w:bookmarkStart w:id="16" w:name="_Toc179875234"/>
      <w:bookmarkStart w:id="17" w:name="_Toc179879434"/>
      <w:bookmarkStart w:id="18" w:name="_Toc230400338"/>
      <w:bookmarkStart w:id="19" w:name="_Toc305582593"/>
      <w:bookmarkStart w:id="20" w:name="_Toc305582595"/>
      <w:bookmarkStart w:id="21" w:name="_Toc305582597"/>
      <w:bookmarkStart w:id="22" w:name="_Toc305582598"/>
      <w:bookmarkStart w:id="23" w:name="_Toc305582599"/>
      <w:bookmarkStart w:id="24" w:name="_Toc305582600"/>
      <w:bookmarkStart w:id="25" w:name="_Toc305582609"/>
      <w:bookmarkStart w:id="26" w:name="_Toc305582610"/>
      <w:bookmarkStart w:id="27" w:name="_Toc305582611"/>
      <w:bookmarkStart w:id="28" w:name="_Toc305582612"/>
      <w:bookmarkStart w:id="29" w:name="_Toc305582613"/>
      <w:bookmarkStart w:id="30" w:name="_Toc305582617"/>
      <w:bookmarkStart w:id="31" w:name="_Toc305582618"/>
      <w:bookmarkStart w:id="32" w:name="_Toc305582619"/>
      <w:bookmarkStart w:id="33" w:name="_Toc305582620"/>
      <w:bookmarkStart w:id="34" w:name="_Toc305582621"/>
      <w:bookmarkStart w:id="35" w:name="_Toc305582622"/>
      <w:bookmarkStart w:id="36" w:name="_Toc305582623"/>
      <w:bookmarkStart w:id="37" w:name="_Toc305582624"/>
      <w:bookmarkStart w:id="38" w:name="_Toc305582625"/>
      <w:bookmarkStart w:id="39" w:name="_Toc305582626"/>
      <w:bookmarkStart w:id="40" w:name="_Toc305582627"/>
      <w:bookmarkStart w:id="41" w:name="_Toc305582628"/>
      <w:bookmarkStart w:id="42" w:name="_Toc305582629"/>
      <w:bookmarkStart w:id="43" w:name="_Toc305582630"/>
      <w:bookmarkStart w:id="44" w:name="_Toc3055826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B12D25"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B12D25">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B12D25">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B12D25">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B12D25"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B12D25"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B12D25"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B12D25"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B12D25">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B12D25">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B12D25">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B12D25"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B12D25">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B12D25">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B12D25">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B12D25"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5" w:name="_Toc181518617"/>
      <w:bookmarkStart w:id="46" w:name="_Toc181621199"/>
      <w:bookmarkStart w:id="47" w:name="_Toc431801497"/>
      <w:r w:rsidRPr="00CE59F2">
        <w:rPr>
          <w:rFonts w:asciiTheme="majorHAnsi" w:hAnsiTheme="majorHAnsi"/>
          <w:sz w:val="22"/>
          <w:szCs w:val="22"/>
        </w:rPr>
        <w:t>ZOZNAM SKRATIEK</w:t>
      </w:r>
      <w:bookmarkEnd w:id="45"/>
      <w:bookmarkEnd w:id="46"/>
      <w:bookmarkEnd w:id="47"/>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8" w:name="_Toc431801498"/>
      <w:bookmarkStart w:id="49" w:name="_Toc530567942"/>
      <w:bookmarkStart w:id="50" w:name="_Toc530653239"/>
      <w:r w:rsidRPr="00CE59F2">
        <w:rPr>
          <w:rFonts w:asciiTheme="majorHAnsi" w:hAnsiTheme="majorHAnsi"/>
          <w:sz w:val="22"/>
          <w:szCs w:val="22"/>
        </w:rPr>
        <w:lastRenderedPageBreak/>
        <w:t>ÚVOD</w:t>
      </w:r>
      <w:bookmarkEnd w:id="48"/>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1" w:name="_Toc431801499"/>
      <w:r w:rsidRPr="00CE59F2">
        <w:rPr>
          <w:rFonts w:asciiTheme="majorHAnsi" w:hAnsiTheme="majorHAnsi"/>
          <w:sz w:val="22"/>
          <w:szCs w:val="22"/>
        </w:rPr>
        <w:t>Východiskové informácie</w:t>
      </w:r>
      <w:bookmarkEnd w:id="51"/>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proofErr w:type="spellStart"/>
      <w:r w:rsidR="007C3A27" w:rsidRPr="007C3A27">
        <w:rPr>
          <w:rFonts w:asciiTheme="majorHAnsi" w:hAnsiTheme="majorHAnsi"/>
          <w:b/>
          <w:sz w:val="22"/>
          <w:szCs w:val="22"/>
        </w:rPr>
        <w:t>podopatrenia</w:t>
      </w:r>
      <w:proofErr w:type="spellEnd"/>
      <w:r w:rsidR="007C3A27" w:rsidRPr="007C3A27">
        <w:rPr>
          <w:rFonts w:asciiTheme="majorHAnsi" w:hAnsiTheme="majorHAnsi"/>
          <w:b/>
          <w:sz w:val="22"/>
          <w:szCs w:val="22"/>
        </w:rPr>
        <w:t xml:space="preserve"> 7.2, 7.4, 7.5, 7.6. </w:t>
      </w:r>
      <w:r w:rsidR="00B47297" w:rsidRPr="00CE59F2">
        <w:rPr>
          <w:rFonts w:asciiTheme="majorHAnsi" w:hAnsiTheme="majorHAnsi"/>
          <w:sz w:val="22"/>
          <w:szCs w:val="22"/>
        </w:rPr>
        <w:t xml:space="preserve">V uvedených </w:t>
      </w:r>
      <w:proofErr w:type="spellStart"/>
      <w:r w:rsidR="00B47297" w:rsidRPr="00CE59F2">
        <w:rPr>
          <w:rFonts w:asciiTheme="majorHAnsi" w:hAnsiTheme="majorHAnsi"/>
          <w:sz w:val="22"/>
          <w:szCs w:val="22"/>
        </w:rPr>
        <w:t>podopatreniach</w:t>
      </w:r>
      <w:proofErr w:type="spellEnd"/>
      <w:r w:rsidR="00B47297" w:rsidRPr="00CE59F2">
        <w:rPr>
          <w:rFonts w:asciiTheme="majorHAnsi" w:hAnsiTheme="majorHAnsi"/>
          <w:sz w:val="22"/>
          <w:szCs w:val="22"/>
        </w:rPr>
        <w:t xml:space="preserve">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2"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2"/>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proofErr w:type="spellStart"/>
      <w:r w:rsidRPr="00CE59F2">
        <w:rPr>
          <w:rFonts w:asciiTheme="majorHAnsi" w:hAnsiTheme="majorHAnsi"/>
          <w:b/>
          <w:color w:val="auto"/>
          <w:sz w:val="22"/>
          <w:szCs w:val="22"/>
        </w:rPr>
        <w:t>podopatrenia</w:t>
      </w:r>
      <w:proofErr w:type="spellEnd"/>
      <w:r w:rsidRPr="00CE59F2">
        <w:rPr>
          <w:rFonts w:asciiTheme="majorHAnsi" w:hAnsiTheme="majorHAnsi"/>
          <w:b/>
          <w:color w:val="auto"/>
          <w:sz w:val="22"/>
          <w:szCs w:val="22"/>
        </w:rPr>
        <w:t xml:space="preserve">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49"/>
      <w:bookmarkEnd w:id="50"/>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3"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3"/>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 xml:space="preserve">boj proti diskriminácií na akomkoľvek základe /vek, zdravotné postihnutie, rasa </w:t>
      </w:r>
      <w:proofErr w:type="spellStart"/>
      <w:r w:rsidRPr="00CE59F2">
        <w:rPr>
          <w:rFonts w:asciiTheme="majorHAnsi" w:hAnsiTheme="majorHAnsi"/>
          <w:sz w:val="22"/>
          <w:szCs w:val="22"/>
        </w:rPr>
        <w:t>atď</w:t>
      </w:r>
      <w:proofErr w:type="spellEnd"/>
      <w:r w:rsidRPr="00CE59F2">
        <w:rPr>
          <w:rFonts w:asciiTheme="majorHAnsi" w:hAnsiTheme="majorHAnsi"/>
          <w:sz w:val="22"/>
          <w:szCs w:val="22"/>
        </w:rPr>
        <w:t>;</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Príklady uplatňovania zásady transparentnosti môžu predstavovať rôzne ustanovenia týkajúce sa zverejňovania oznámení a povinnosti obstarávateľov informovať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4"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4"/>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5" w:name="_Toc431801503"/>
      <w:r w:rsidRPr="00CE59F2">
        <w:rPr>
          <w:rFonts w:asciiTheme="majorHAnsi" w:hAnsiTheme="majorHAnsi"/>
          <w:sz w:val="22"/>
          <w:szCs w:val="22"/>
        </w:rPr>
        <w:t>Legislatíva EÚ</w:t>
      </w:r>
      <w:bookmarkEnd w:id="55"/>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6" w:name="_Toc431801504"/>
      <w:r w:rsidRPr="00CE59F2">
        <w:rPr>
          <w:rFonts w:asciiTheme="majorHAnsi" w:hAnsiTheme="majorHAnsi"/>
          <w:sz w:val="22"/>
          <w:szCs w:val="22"/>
        </w:rPr>
        <w:t>Národná legislatíva</w:t>
      </w:r>
      <w:bookmarkEnd w:id="56"/>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7"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7"/>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8" w:name="_Toc431801506"/>
      <w:r w:rsidRPr="00CE59F2">
        <w:rPr>
          <w:rFonts w:asciiTheme="majorHAnsi" w:hAnsiTheme="majorHAnsi"/>
          <w:sz w:val="22"/>
          <w:szCs w:val="22"/>
        </w:rPr>
        <w:t>Vymedzenie, opis a technická špecifikácia predmetu</w:t>
      </w:r>
      <w:bookmarkEnd w:id="58"/>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59" w:name="_Toc431801507"/>
      <w:r w:rsidRPr="00CE59F2">
        <w:rPr>
          <w:rFonts w:asciiTheme="majorHAnsi" w:hAnsiTheme="majorHAnsi"/>
          <w:sz w:val="22"/>
          <w:szCs w:val="22"/>
        </w:rPr>
        <w:t>Stanovenie kritérií na hodnotenie ponúk a spôsob ich uplatnenia</w:t>
      </w:r>
      <w:bookmarkEnd w:id="59"/>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0" w:name="_Toc431801508"/>
      <w:r w:rsidRPr="00CE59F2">
        <w:rPr>
          <w:rFonts w:asciiTheme="majorHAnsi" w:hAnsiTheme="majorHAnsi"/>
          <w:sz w:val="22"/>
          <w:szCs w:val="22"/>
        </w:rPr>
        <w:t>Plnenie zákazky</w:t>
      </w:r>
      <w:bookmarkEnd w:id="60"/>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1" w:name="_Toc424894936"/>
      <w:bookmarkStart w:id="62" w:name="_Toc424894952"/>
      <w:bookmarkStart w:id="63" w:name="_Toc424894967"/>
      <w:bookmarkStart w:id="64" w:name="_Toc424910473"/>
      <w:bookmarkStart w:id="65" w:name="_Toc430939821"/>
      <w:bookmarkStart w:id="66" w:name="_Toc430941682"/>
      <w:bookmarkStart w:id="67" w:name="_Toc431799662"/>
      <w:bookmarkStart w:id="68" w:name="_Toc431799718"/>
      <w:bookmarkStart w:id="69" w:name="_Toc431800061"/>
      <w:bookmarkStart w:id="70" w:name="_Toc431801305"/>
      <w:bookmarkStart w:id="71" w:name="_Toc431801464"/>
      <w:bookmarkStart w:id="72"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1"/>
      <w:bookmarkEnd w:id="62"/>
      <w:bookmarkEnd w:id="63"/>
      <w:bookmarkEnd w:id="64"/>
      <w:bookmarkEnd w:id="65"/>
      <w:bookmarkEnd w:id="66"/>
      <w:bookmarkEnd w:id="67"/>
      <w:bookmarkEnd w:id="68"/>
      <w:bookmarkEnd w:id="69"/>
      <w:bookmarkEnd w:id="70"/>
      <w:bookmarkEnd w:id="71"/>
      <w:bookmarkEnd w:id="72"/>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3"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3"/>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w:t>
      </w:r>
      <w:proofErr w:type="spellStart"/>
      <w:r w:rsidRPr="00CE59F2">
        <w:rPr>
          <w:rFonts w:asciiTheme="majorHAnsi" w:hAnsiTheme="majorHAnsi"/>
          <w:color w:val="auto"/>
          <w:sz w:val="22"/>
          <w:szCs w:val="22"/>
        </w:rPr>
        <w:t>podopatrenia</w:t>
      </w:r>
      <w:proofErr w:type="spellEnd"/>
      <w:r w:rsidRPr="00CE59F2">
        <w:rPr>
          <w:rFonts w:asciiTheme="majorHAnsi" w:hAnsiTheme="majorHAnsi"/>
          <w:color w:val="auto"/>
          <w:sz w:val="22"/>
          <w:szCs w:val="22"/>
        </w:rPr>
        <w:t xml:space="preserve">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1290A">
        <w:rPr>
          <w:rFonts w:asciiTheme="majorHAnsi" w:hAnsiTheme="majorHAnsi"/>
          <w:color w:val="auto"/>
          <w:sz w:val="22"/>
          <w:szCs w:val="22"/>
        </w:rPr>
        <w:t>e</w:t>
      </w:r>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4" w:name="_Toc431801511"/>
      <w:r w:rsidRPr="00CE59F2">
        <w:rPr>
          <w:rFonts w:asciiTheme="majorHAnsi" w:hAnsiTheme="majorHAnsi"/>
          <w:sz w:val="22"/>
          <w:szCs w:val="22"/>
        </w:rPr>
        <w:t>Vymedzenie predmetu zákazky, jeho opis a technická špecifikácia</w:t>
      </w:r>
      <w:bookmarkEnd w:id="74"/>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w:t>
      </w:r>
      <w:proofErr w:type="spellStart"/>
      <w:r w:rsidR="003F3C2D" w:rsidRPr="00CE59F2">
        <w:rPr>
          <w:rFonts w:asciiTheme="majorHAnsi" w:hAnsiTheme="majorHAnsi"/>
          <w:color w:val="auto"/>
          <w:sz w:val="22"/>
          <w:szCs w:val="22"/>
        </w:rPr>
        <w:t>podopatrení</w:t>
      </w:r>
      <w:proofErr w:type="spellEnd"/>
      <w:r w:rsidR="003F3C2D" w:rsidRPr="00CE59F2">
        <w:rPr>
          <w:rFonts w:asciiTheme="majorHAnsi" w:hAnsiTheme="majorHAnsi"/>
          <w:color w:val="auto"/>
          <w:sz w:val="22"/>
          <w:szCs w:val="22"/>
        </w:rPr>
        <w:t xml:space="preserve">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xml:space="preserve">, </w:t>
      </w:r>
      <w:proofErr w:type="spellStart"/>
      <w:r w:rsidR="003F3C2D" w:rsidRPr="00CE59F2">
        <w:rPr>
          <w:rFonts w:asciiTheme="majorHAnsi" w:hAnsiTheme="majorHAnsi"/>
          <w:color w:val="auto"/>
          <w:sz w:val="22"/>
          <w:szCs w:val="22"/>
        </w:rPr>
        <w:t>t.j</w:t>
      </w:r>
      <w:proofErr w:type="spellEnd"/>
      <w:r w:rsidR="003F3C2D" w:rsidRPr="00CE59F2">
        <w:rPr>
          <w:rFonts w:asciiTheme="majorHAnsi" w:hAnsiTheme="majorHAnsi"/>
          <w:color w:val="auto"/>
          <w:sz w:val="22"/>
          <w:szCs w:val="22"/>
        </w:rPr>
        <w:t>.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5" w:name="_Toc431801512"/>
      <w:r w:rsidRPr="00CE59F2">
        <w:rPr>
          <w:rFonts w:asciiTheme="majorHAnsi" w:hAnsiTheme="majorHAnsi"/>
          <w:sz w:val="22"/>
          <w:szCs w:val="22"/>
        </w:rPr>
        <w:t>Stanovenie kritérií na hodnotenie ponúk</w:t>
      </w:r>
      <w:bookmarkEnd w:id="75"/>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 xml:space="preserve">2 ZVO) a teda akceptovanie len zodpovedných uchádzačov, </w:t>
      </w:r>
      <w:proofErr w:type="spellStart"/>
      <w:r w:rsidRPr="00CE59F2">
        <w:rPr>
          <w:rFonts w:asciiTheme="majorHAnsi" w:hAnsiTheme="majorHAnsi"/>
          <w:color w:val="auto"/>
          <w:sz w:val="22"/>
          <w:szCs w:val="22"/>
        </w:rPr>
        <w:t>t.j</w:t>
      </w:r>
      <w:proofErr w:type="spellEnd"/>
      <w:r w:rsidRPr="00CE59F2">
        <w:rPr>
          <w:rFonts w:asciiTheme="majorHAnsi" w:hAnsiTheme="majorHAnsi"/>
          <w:color w:val="auto"/>
          <w:sz w:val="22"/>
          <w:szCs w:val="22"/>
        </w:rPr>
        <w:t>.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xml:space="preserve">, čo je v tejto fáze adekvátne aj pre realizáciu verejného obstarávania žiadateľmi/prijímateľmi v uvedených príkladoch aktivít </w:t>
      </w:r>
      <w:proofErr w:type="spellStart"/>
      <w:r w:rsidRPr="00CE59F2">
        <w:rPr>
          <w:rFonts w:asciiTheme="majorHAnsi" w:hAnsiTheme="majorHAnsi"/>
          <w:color w:val="auto"/>
          <w:sz w:val="22"/>
          <w:szCs w:val="22"/>
        </w:rPr>
        <w:t>podopatrení</w:t>
      </w:r>
      <w:proofErr w:type="spellEnd"/>
      <w:r w:rsidRPr="00CE59F2">
        <w:rPr>
          <w:rFonts w:asciiTheme="majorHAnsi" w:hAnsiTheme="majorHAnsi"/>
          <w:color w:val="auto"/>
          <w:sz w:val="22"/>
          <w:szCs w:val="22"/>
        </w:rPr>
        <w:t xml:space="preserve">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6" w:name="_Toc431801513"/>
      <w:r w:rsidRPr="00CE59F2">
        <w:rPr>
          <w:rFonts w:asciiTheme="majorHAnsi" w:hAnsiTheme="majorHAnsi"/>
          <w:sz w:val="22"/>
          <w:szCs w:val="22"/>
        </w:rPr>
        <w:lastRenderedPageBreak/>
        <w:t>Plnenie zákazky</w:t>
      </w:r>
      <w:bookmarkEnd w:id="76"/>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w:t>
      </w:r>
      <w:proofErr w:type="spellStart"/>
      <w:r w:rsidRPr="00CE59F2">
        <w:rPr>
          <w:rFonts w:asciiTheme="majorHAnsi" w:hAnsiTheme="majorHAnsi"/>
          <w:sz w:val="22"/>
          <w:szCs w:val="22"/>
        </w:rPr>
        <w:t>podopatrenia</w:t>
      </w:r>
      <w:proofErr w:type="spellEnd"/>
      <w:r w:rsidRPr="00CE59F2">
        <w:rPr>
          <w:rFonts w:asciiTheme="majorHAnsi" w:hAnsiTheme="majorHAnsi"/>
          <w:sz w:val="22"/>
          <w:szCs w:val="22"/>
        </w:rPr>
        <w:t xml:space="preserve">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xml:space="preserve">, neurčujeme podmienku aj na realizáciu iných/ďalších zákaziek. Taktiež uchádzačom neurčujeme formu zamestnania týchto osôb,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7.5</w:t>
      </w:r>
      <w:r w:rsidRPr="00CE59F2">
        <w:rPr>
          <w:rFonts w:asciiTheme="majorHAnsi" w:hAnsiTheme="majorHAnsi"/>
          <w:sz w:val="22"/>
          <w:szCs w:val="22"/>
        </w:rPr>
        <w:t xml:space="preserve">. V uvedených </w:t>
      </w:r>
      <w:proofErr w:type="spellStart"/>
      <w:r w:rsidRPr="00CE59F2">
        <w:rPr>
          <w:rFonts w:asciiTheme="majorHAnsi" w:hAnsiTheme="majorHAnsi"/>
          <w:sz w:val="22"/>
          <w:szCs w:val="22"/>
        </w:rPr>
        <w:t>podopatreniach</w:t>
      </w:r>
      <w:proofErr w:type="spellEnd"/>
      <w:r w:rsidRPr="00CE59F2">
        <w:rPr>
          <w:rFonts w:asciiTheme="majorHAnsi" w:hAnsiTheme="majorHAnsi"/>
          <w:sz w:val="22"/>
          <w:szCs w:val="22"/>
        </w:rPr>
        <w:t xml:space="preserve">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 xml:space="preserve">MVDr. Stanislav </w:t>
      </w:r>
      <w:proofErr w:type="spellStart"/>
      <w:r w:rsidRPr="00CE59F2">
        <w:rPr>
          <w:rFonts w:asciiTheme="majorHAnsi" w:hAnsiTheme="majorHAnsi"/>
          <w:sz w:val="22"/>
          <w:szCs w:val="22"/>
        </w:rPr>
        <w:t>Grobár</w:t>
      </w:r>
      <w:proofErr w:type="spellEnd"/>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5472" w14:textId="77777777" w:rsidR="00B12D25" w:rsidRDefault="00B12D25" w:rsidP="004419B4">
      <w:pPr>
        <w:pStyle w:val="Hlavika"/>
      </w:pPr>
      <w:r>
        <w:separator/>
      </w:r>
    </w:p>
  </w:endnote>
  <w:endnote w:type="continuationSeparator" w:id="0">
    <w:p w14:paraId="1478DE3C" w14:textId="77777777" w:rsidR="00B12D25" w:rsidRDefault="00B12D25"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009543CD">
          <w:rPr>
            <w:rFonts w:asciiTheme="majorHAnsi" w:hAnsiTheme="majorHAnsi" w:cstheme="majorHAnsi"/>
            <w:noProof/>
            <w:sz w:val="22"/>
            <w:szCs w:val="22"/>
          </w:rPr>
          <w:t>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0B38" w14:textId="77777777" w:rsidR="00B12D25" w:rsidRDefault="00B12D25" w:rsidP="004419B4">
      <w:pPr>
        <w:pStyle w:val="Hlavika"/>
      </w:pPr>
      <w:r>
        <w:separator/>
      </w:r>
    </w:p>
  </w:footnote>
  <w:footnote w:type="continuationSeparator" w:id="0">
    <w:p w14:paraId="06FF650C" w14:textId="77777777" w:rsidR="00B12D25" w:rsidRDefault="00B12D25"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r w:rsidRPr="002F4F00">
        <w:rPr>
          <w:rFonts w:asciiTheme="majorHAnsi" w:hAnsiTheme="majorHAnsi"/>
          <w:sz w:val="16"/>
          <w:szCs w:val="16"/>
        </w:rPr>
        <w:t xml:space="preserve">Napr. Informačné minimum postupových krokov procesu VO vydané </w:t>
      </w:r>
      <w:proofErr w:type="spellStart"/>
      <w:r w:rsidRPr="002F4F00">
        <w:rPr>
          <w:rFonts w:asciiTheme="majorHAnsi" w:hAnsiTheme="majorHAnsi"/>
          <w:sz w:val="16"/>
          <w:szCs w:val="16"/>
        </w:rPr>
        <w:t>Transparency</w:t>
      </w:r>
      <w:proofErr w:type="spellEnd"/>
      <w:r w:rsidRPr="002F4F00">
        <w:rPr>
          <w:rFonts w:asciiTheme="majorHAnsi" w:hAnsiTheme="majorHAnsi"/>
          <w:sz w:val="16"/>
          <w:szCs w:val="16"/>
        </w:rPr>
        <w:t xml:space="preserve">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w:t>
      </w:r>
      <w:r w:rsidRPr="002F4F00">
        <w:rPr>
          <w:rFonts w:asciiTheme="majorHAnsi" w:hAnsiTheme="majorHAnsi" w:cstheme="majorHAnsi"/>
          <w:sz w:val="16"/>
          <w:szCs w:val="16"/>
        </w:rPr>
        <w:t xml:space="preserve">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w:t>
      </w:r>
      <w:r w:rsidRPr="002F4F00">
        <w:rPr>
          <w:rFonts w:asciiTheme="majorHAnsi" w:hAnsiTheme="majorHAnsi" w:cstheme="majorHAnsi"/>
          <w:sz w:val="16"/>
          <w:szCs w:val="16"/>
        </w:rPr>
        <w:t>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w:t>
      </w:r>
      <w:r w:rsidRPr="002F4F00">
        <w:rPr>
          <w:rFonts w:asciiTheme="majorHAnsi" w:hAnsiTheme="majorHAnsi" w:cstheme="majorHAnsi"/>
          <w:sz w:val="16"/>
          <w:szCs w:val="16"/>
        </w:rPr>
        <w:t>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w:t>
      </w:r>
      <w:r w:rsidRPr="002F4F00">
        <w:rPr>
          <w:rFonts w:asciiTheme="majorHAnsi" w:hAnsiTheme="majorHAnsi" w:cstheme="majorHAnsi"/>
          <w:sz w:val="16"/>
          <w:szCs w:val="16"/>
        </w:rPr>
        <w:t>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rPr>
        <w:t>§</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w:t>
      </w:r>
      <w:r w:rsidRPr="005C4A71">
        <w:rPr>
          <w:rFonts w:asciiTheme="majorHAnsi" w:hAnsiTheme="majorHAnsi"/>
          <w:sz w:val="18"/>
          <w:szCs w:val="18"/>
        </w:rPr>
        <w:t>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w:t>
      </w:r>
      <w:r w:rsidRPr="002E2D04">
        <w:rPr>
          <w:rFonts w:asciiTheme="majorHAnsi" w:hAnsiTheme="majorHAnsi"/>
          <w:sz w:val="18"/>
          <w:szCs w:val="18"/>
        </w:rPr>
        <w:t>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D394" w14:textId="3E0F2F12"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w:t>
    </w:r>
    <w:r w:rsidR="00C3042F">
      <w:rPr>
        <w:rFonts w:asciiTheme="majorHAnsi" w:hAnsiTheme="majorHAnsi" w:cstheme="majorHAnsi"/>
        <w:sz w:val="16"/>
        <w:szCs w:val="16"/>
      </w:rPr>
      <w:t>30</w:t>
    </w:r>
    <w:r w:rsidRPr="001002A2">
      <w:rPr>
        <w:rFonts w:asciiTheme="majorHAnsi" w:hAnsiTheme="majorHAnsi" w:cstheme="majorHAnsi"/>
        <w:sz w:val="16"/>
        <w:szCs w:val="1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2D25"/>
    <w:rsid w:val="00B14837"/>
    <w:rsid w:val="00B20F66"/>
    <w:rsid w:val="00B24435"/>
    <w:rsid w:val="00B2609A"/>
    <w:rsid w:val="00B27B71"/>
    <w:rsid w:val="00B27C4E"/>
    <w:rsid w:val="00B27D31"/>
    <w:rsid w:val="00B3153C"/>
    <w:rsid w:val="00B3329F"/>
    <w:rsid w:val="00B33763"/>
    <w:rsid w:val="00B344C0"/>
    <w:rsid w:val="00B3575A"/>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42F"/>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1DD3-2645-44C0-BB81-110FC91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Ševc Martin</cp:lastModifiedBy>
  <cp:revision>11</cp:revision>
  <cp:lastPrinted>2015-04-29T13:46:00Z</cp:lastPrinted>
  <dcterms:created xsi:type="dcterms:W3CDTF">2016-12-28T08:31:00Z</dcterms:created>
  <dcterms:modified xsi:type="dcterms:W3CDTF">2023-04-24T12:19:00Z</dcterms:modified>
</cp:coreProperties>
</file>