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3D1033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45213F19" w:rsidR="00BC628D" w:rsidRPr="00A42D69" w:rsidRDefault="00C94EEE" w:rsidP="003A5FC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C94EEE">
              <w:rPr>
                <w:rFonts w:asciiTheme="minorHAnsi" w:hAnsiTheme="minorHAnsi"/>
                <w:i/>
              </w:rPr>
              <w:t>Miestna akčná skupina Bebrava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845893F" w:rsidR="00BC628D" w:rsidRPr="00A42D69" w:rsidRDefault="003D1033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7782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AC3905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B292A" w14:textId="17ADC785" w:rsidR="00F5081D" w:rsidRPr="00A75ABE" w:rsidRDefault="00F5081D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</w:p>
          <w:p w14:paraId="589EC886" w14:textId="328F9964" w:rsidR="00AC3905" w:rsidRPr="00A75ABE" w:rsidRDefault="003D1033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A75ABE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186830D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AF15FB">
              <w:rPr>
                <w:rFonts w:asciiTheme="minorHAnsi" w:hAnsiTheme="minorHAnsi"/>
                <w:szCs w:val="22"/>
              </w:rPr>
              <w:t>RMŽaND</w:t>
            </w:r>
            <w:r w:rsidR="00AF15FB" w:rsidRPr="008C011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byť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A75ABE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A75ABE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70276F3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</w:t>
            </w:r>
            <w:r w:rsidR="00AF15FB">
              <w:rPr>
                <w:rFonts w:asciiTheme="minorHAnsi" w:hAnsiTheme="minorHAnsi"/>
                <w:szCs w:val="22"/>
              </w:rPr>
              <w:t xml:space="preserve"> RMŽaND</w:t>
            </w:r>
            <w:r w:rsidRPr="008C011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3A5FC4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71E1F6B9" w:rsidR="00AC3905" w:rsidRPr="00A75ABE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A75ABE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035B86C6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AF15FB">
              <w:rPr>
                <w:rFonts w:asciiTheme="minorHAnsi" w:hAnsiTheme="minorHAnsi"/>
                <w:szCs w:val="22"/>
              </w:rPr>
              <w:t>RMŽaND</w:t>
            </w:r>
            <w:r w:rsidR="00AF15FB" w:rsidRPr="008C011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3A5FC4" w:rsidRPr="009365C4" w14:paraId="283F87CC" w14:textId="643404B7" w:rsidTr="00A53F83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3A5FC4" w:rsidRPr="008C011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3A5FC4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3A5FC4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3A5FC4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3A5FC4" w:rsidRPr="008C011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BD66" w14:textId="4B2C6B7A" w:rsidR="00AC3905" w:rsidRPr="00FC5DEB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A75ABE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4F5C477F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</w:t>
            </w:r>
            <w:r w:rsidR="00AF15FB">
              <w:rPr>
                <w:rFonts w:asciiTheme="minorHAnsi" w:hAnsiTheme="minorHAnsi"/>
                <w:szCs w:val="22"/>
              </w:rPr>
              <w:t xml:space="preserve"> RMŽaND</w:t>
            </w:r>
            <w:r w:rsidRPr="008C011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23974EA2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0F2465">
        <w:rPr>
          <w:rFonts w:asciiTheme="minorHAnsi" w:hAnsiTheme="minorHAnsi"/>
        </w:rPr>
        <w:t>, t.</w:t>
      </w:r>
      <w:r w:rsidR="00A75ABE">
        <w:rPr>
          <w:rFonts w:asciiTheme="minorHAnsi" w:hAnsiTheme="minorHAnsi"/>
        </w:rPr>
        <w:t xml:space="preserve"> </w:t>
      </w:r>
      <w:r w:rsidR="000F2465">
        <w:rPr>
          <w:rFonts w:asciiTheme="minorHAnsi" w:hAnsiTheme="minorHAnsi"/>
        </w:rPr>
        <w:t>j. ukazovatele označené ako „áno“ bez dôvetku</w:t>
      </w:r>
      <w:r w:rsidR="00C702EF">
        <w:rPr>
          <w:rFonts w:asciiTheme="minorHAnsi" w:hAnsiTheme="minorHAnsi"/>
        </w:rPr>
        <w:t>.</w:t>
      </w:r>
    </w:p>
    <w:p w14:paraId="04A43BAA" w14:textId="1832A7B6" w:rsidR="00F5081D" w:rsidRDefault="00F5081D" w:rsidP="00EC501F">
      <w:pPr>
        <w:ind w:left="-426" w:right="-312"/>
        <w:jc w:val="both"/>
        <w:rPr>
          <w:rFonts w:asciiTheme="minorHAnsi" w:hAnsiTheme="minorHAnsi"/>
        </w:rPr>
      </w:pPr>
      <w:r w:rsidRPr="00966A77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2C709BBE" w14:textId="6A58AB7C" w:rsidR="005E6B6E" w:rsidRPr="00CF14C5" w:rsidRDefault="001A6EA1" w:rsidP="00844F75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0F2465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sectPr w:rsidR="005E6B6E" w:rsidRPr="00CF14C5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A9D6" w14:textId="77777777" w:rsidR="009A5EE2" w:rsidRDefault="009A5EE2">
      <w:r>
        <w:separator/>
      </w:r>
    </w:p>
  </w:endnote>
  <w:endnote w:type="continuationSeparator" w:id="0">
    <w:p w14:paraId="16C79C88" w14:textId="77777777" w:rsidR="009A5EE2" w:rsidRDefault="009A5EE2">
      <w:r>
        <w:continuationSeparator/>
      </w:r>
    </w:p>
  </w:endnote>
  <w:endnote w:type="continuationNotice" w:id="1">
    <w:p w14:paraId="04BA0826" w14:textId="77777777" w:rsidR="009A5EE2" w:rsidRDefault="009A5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C6446" w14:textId="77777777" w:rsidR="009A5EE2" w:rsidRDefault="009A5EE2">
      <w:r>
        <w:separator/>
      </w:r>
    </w:p>
  </w:footnote>
  <w:footnote w:type="continuationSeparator" w:id="0">
    <w:p w14:paraId="09917C9F" w14:textId="77777777" w:rsidR="009A5EE2" w:rsidRDefault="009A5EE2">
      <w:r>
        <w:continuationSeparator/>
      </w:r>
    </w:p>
  </w:footnote>
  <w:footnote w:type="continuationNotice" w:id="1">
    <w:p w14:paraId="51BB6D63" w14:textId="77777777" w:rsidR="009A5EE2" w:rsidRDefault="009A5EE2"/>
  </w:footnote>
  <w:footnote w:id="2">
    <w:p w14:paraId="23620C2B" w14:textId="498E5E53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EB40" w14:textId="4FC529B7" w:rsidR="008718D1" w:rsidRDefault="00F5081D" w:rsidP="005E6B6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831918E" wp14:editId="6D1D5622">
          <wp:simplePos x="0" y="0"/>
          <wp:positionH relativeFrom="column">
            <wp:posOffset>4139565</wp:posOffset>
          </wp:positionH>
          <wp:positionV relativeFrom="paragraph">
            <wp:posOffset>-101600</wp:posOffset>
          </wp:positionV>
          <wp:extent cx="2144395" cy="495300"/>
          <wp:effectExtent l="0" t="0" r="8255" b="0"/>
          <wp:wrapTight wrapText="bothSides">
            <wp:wrapPolygon edited="0">
              <wp:start x="0" y="0"/>
              <wp:lineTo x="0" y="10800"/>
              <wp:lineTo x="576" y="13292"/>
              <wp:lineTo x="3070" y="20769"/>
              <wp:lineTo x="4221" y="20769"/>
              <wp:lineTo x="12664" y="20769"/>
              <wp:lineTo x="15927" y="20769"/>
              <wp:lineTo x="15927" y="15785"/>
              <wp:lineTo x="21491" y="12462"/>
              <wp:lineTo x="21491" y="5815"/>
              <wp:lineTo x="11513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3B3B7EE9" wp14:editId="50E1D580">
          <wp:simplePos x="0" y="0"/>
          <wp:positionH relativeFrom="column">
            <wp:posOffset>7063105</wp:posOffset>
          </wp:positionH>
          <wp:positionV relativeFrom="paragraph">
            <wp:posOffset>-140335</wp:posOffset>
          </wp:positionV>
          <wp:extent cx="1877060" cy="523875"/>
          <wp:effectExtent l="0" t="0" r="8890" b="9525"/>
          <wp:wrapTight wrapText="bothSides">
            <wp:wrapPolygon edited="0">
              <wp:start x="0" y="0"/>
              <wp:lineTo x="0" y="21207"/>
              <wp:lineTo x="21483" y="21207"/>
              <wp:lineTo x="21483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5EF2353A" wp14:editId="7BA6E29B">
          <wp:simplePos x="0" y="0"/>
          <wp:positionH relativeFrom="column">
            <wp:posOffset>2386965</wp:posOffset>
          </wp:positionH>
          <wp:positionV relativeFrom="paragraph">
            <wp:posOffset>-82550</wp:posOffset>
          </wp:positionV>
          <wp:extent cx="681355" cy="571500"/>
          <wp:effectExtent l="0" t="0" r="4445" b="0"/>
          <wp:wrapTight wrapText="bothSides">
            <wp:wrapPolygon edited="0">
              <wp:start x="2416" y="0"/>
              <wp:lineTo x="2416" y="11520"/>
              <wp:lineTo x="0" y="15120"/>
              <wp:lineTo x="0" y="19440"/>
              <wp:lineTo x="4831" y="20880"/>
              <wp:lineTo x="16306" y="20880"/>
              <wp:lineTo x="21137" y="19440"/>
              <wp:lineTo x="21137" y="15120"/>
              <wp:lineTo x="18721" y="11520"/>
              <wp:lineTo x="18721" y="0"/>
              <wp:lineTo x="2416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1" locked="0" layoutInCell="1" allowOverlap="1" wp14:anchorId="7933C364" wp14:editId="1C5AD26B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537845" cy="457200"/>
          <wp:effectExtent l="0" t="0" r="0" b="0"/>
          <wp:wrapTight wrapText="bothSides">
            <wp:wrapPolygon edited="0">
              <wp:start x="3825" y="0"/>
              <wp:lineTo x="0" y="4500"/>
              <wp:lineTo x="0" y="16200"/>
              <wp:lineTo x="3825" y="20700"/>
              <wp:lineTo x="16066" y="20700"/>
              <wp:lineTo x="16831" y="20700"/>
              <wp:lineTo x="20656" y="15300"/>
              <wp:lineTo x="20656" y="5400"/>
              <wp:lineTo x="16066" y="0"/>
              <wp:lineTo x="3825" y="0"/>
            </wp:wrapPolygon>
          </wp:wrapTight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05" cy="45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CB053A2" w14:textId="2D06411E" w:rsidR="00F5081D" w:rsidRDefault="00F5081D" w:rsidP="005E6B6E">
    <w:pPr>
      <w:pStyle w:val="Hlavika"/>
    </w:pPr>
  </w:p>
  <w:p w14:paraId="6A2754C2" w14:textId="01EB76C3" w:rsidR="00F5081D" w:rsidRDefault="00F5081D" w:rsidP="005E6B6E">
    <w:pPr>
      <w:pStyle w:val="Hlavika"/>
    </w:pPr>
  </w:p>
  <w:p w14:paraId="346CCA2B" w14:textId="77777777" w:rsidR="00F5081D" w:rsidRDefault="00F5081D" w:rsidP="00F5081D">
    <w:pPr>
      <w:pStyle w:val="Hlavika"/>
      <w:rPr>
        <w:rFonts w:ascii="Arial Narrow" w:hAnsi="Arial Narrow" w:cs="Arial"/>
        <w:sz w:val="20"/>
      </w:rPr>
    </w:pPr>
  </w:p>
  <w:p w14:paraId="5AA48BC3" w14:textId="2257BFC2" w:rsidR="00F5081D" w:rsidRPr="00730D1A" w:rsidRDefault="00F5081D" w:rsidP="00F5081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</w:t>
    </w:r>
    <w:r>
      <w:rPr>
        <w:rFonts w:ascii="Arial Narrow" w:hAnsi="Arial Narrow" w:cs="Arial"/>
        <w:sz w:val="20"/>
      </w:rPr>
      <w:t xml:space="preserve">y - </w:t>
    </w:r>
    <w:r w:rsidRPr="002D0E38">
      <w:rPr>
        <w:rFonts w:ascii="Arial Narrow" w:hAnsi="Arial Narrow" w:cs="Arial"/>
        <w:sz w:val="20"/>
      </w:rPr>
      <w:t>Zoznam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povinných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merateľných ukazovateľov projektu</w:t>
    </w:r>
  </w:p>
  <w:p w14:paraId="03A7E262" w14:textId="7A20C614" w:rsidR="00F5081D" w:rsidRDefault="00F5081D" w:rsidP="005E6B6E">
    <w:pPr>
      <w:pStyle w:val="Hlavika"/>
    </w:pPr>
  </w:p>
  <w:p w14:paraId="565BE274" w14:textId="77777777" w:rsidR="00F5081D" w:rsidRPr="005E6B6E" w:rsidRDefault="00F5081D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465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5371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12E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5FC4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1033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37782"/>
    <w:rsid w:val="006422EB"/>
    <w:rsid w:val="00642FBC"/>
    <w:rsid w:val="006434FF"/>
    <w:rsid w:val="00643EE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4F75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5EE2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3685"/>
    <w:rsid w:val="00A44F86"/>
    <w:rsid w:val="00A458AF"/>
    <w:rsid w:val="00A45BE5"/>
    <w:rsid w:val="00A50BF9"/>
    <w:rsid w:val="00A51395"/>
    <w:rsid w:val="00A52621"/>
    <w:rsid w:val="00A52A55"/>
    <w:rsid w:val="00A53CDB"/>
    <w:rsid w:val="00A556AF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ABE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233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3905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5FB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4EEE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2763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81D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5DEB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D7C61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555746"/>
    <w:rsid w:val="006E2383"/>
    <w:rsid w:val="00970069"/>
    <w:rsid w:val="00A74980"/>
    <w:rsid w:val="00B62629"/>
    <w:rsid w:val="00C31B9D"/>
    <w:rsid w:val="00C40C5F"/>
    <w:rsid w:val="00CA2517"/>
    <w:rsid w:val="00D44CE6"/>
    <w:rsid w:val="00DB3628"/>
    <w:rsid w:val="00DC2E6A"/>
    <w:rsid w:val="00E22C87"/>
    <w:rsid w:val="00F3772C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  <w:style w:type="paragraph" w:customStyle="1" w:styleId="C15BA14D77D94392A1521998D9206D64">
    <w:name w:val="C15BA14D77D94392A1521998D9206D64"/>
    <w:rsid w:val="00970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F074-8B00-477A-BC26-4B41065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2020-06-29T06:32:00Z</dcterms:created>
  <dcterms:modified xsi:type="dcterms:W3CDTF">2021-06-10T11:15:00Z</dcterms:modified>
</cp:coreProperties>
</file>